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9F" w:rsidRPr="0097524C" w:rsidRDefault="0055589F" w:rsidP="0055589F">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5589F" w:rsidRPr="0097524C" w:rsidRDefault="0055589F" w:rsidP="0055589F">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55589F" w:rsidRPr="0097524C" w:rsidRDefault="0055589F" w:rsidP="0055589F">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55589F" w:rsidRPr="0097524C" w:rsidRDefault="0055589F" w:rsidP="0055589F">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786"/>
      </w:tblGrid>
      <w:tr w:rsidR="0055589F" w:rsidRPr="0097524C" w:rsidTr="00901968">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sz w:val="21"/>
                <w:szCs w:val="21"/>
              </w:rPr>
            </w:pPr>
            <w:r>
              <w:rPr>
                <w:rFonts w:ascii="Times New Roman" w:hAnsi="Times New Roman"/>
                <w:b/>
                <w:sz w:val="21"/>
                <w:szCs w:val="21"/>
              </w:rPr>
              <w:t>SPECIAL REPAIR TO INTERNAL ROADS AT GAGAN VIHAR, CERTAIN PLACES IN NE ZONE AT RANGAPAHAR MIL STN</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21.40</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twenty one </w:t>
            </w:r>
            <w:proofErr w:type="spellStart"/>
            <w:r>
              <w:rPr>
                <w:rFonts w:ascii="Times New Roman" w:hAnsi="Times New Roman"/>
                <w:sz w:val="21"/>
                <w:szCs w:val="21"/>
              </w:rPr>
              <w:t>lakhs</w:t>
            </w:r>
            <w:proofErr w:type="spellEnd"/>
            <w:r>
              <w:rPr>
                <w:rFonts w:ascii="Times New Roman" w:hAnsi="Times New Roman"/>
                <w:sz w:val="21"/>
                <w:szCs w:val="21"/>
              </w:rPr>
              <w:t xml:space="preserve"> forty thousand </w:t>
            </w:r>
            <w:r w:rsidRPr="0097524C">
              <w:rPr>
                <w:rFonts w:ascii="Times New Roman" w:hAnsi="Times New Roman"/>
                <w:sz w:val="21"/>
                <w:szCs w:val="21"/>
              </w:rPr>
              <w:t>only) (At Par Market)</w:t>
            </w:r>
          </w:p>
          <w:p w:rsidR="0055589F" w:rsidRPr="0097524C" w:rsidRDefault="0055589F" w:rsidP="00901968">
            <w:pPr>
              <w:jc w:val="both"/>
              <w:rPr>
                <w:rFonts w:ascii="Times New Roman" w:hAnsi="Times New Roman"/>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Default="0055589F" w:rsidP="00901968">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55589F" w:rsidRPr="0097524C" w:rsidRDefault="0055589F" w:rsidP="00901968">
            <w:pPr>
              <w:rPr>
                <w:rFonts w:ascii="Times New Roman" w:hAnsi="Times New Roman"/>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Pr>
                <w:rFonts w:ascii="Times New Roman" w:hAnsi="Times New Roman"/>
                <w:b/>
                <w:color w:val="000000" w:themeColor="text1"/>
                <w:sz w:val="21"/>
                <w:szCs w:val="21"/>
              </w:rPr>
              <w:t xml:space="preserve">GE 868 EWS </w:t>
            </w:r>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Rangapahar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hyperlink r:id="rId6" w:history="1">
              <w:r w:rsidRPr="0097524C">
                <w:rPr>
                  <w:rStyle w:val="Hyperlink"/>
                  <w:rFonts w:ascii="Times New Roman" w:hAnsi="Times New Roman"/>
                  <w:color w:val="000000" w:themeColor="text1"/>
                  <w:sz w:val="21"/>
                  <w:szCs w:val="21"/>
                </w:rPr>
                <w:t>www.defproc.gov.in</w:t>
              </w:r>
            </w:hyperlink>
            <w:r w:rsidRPr="0097524C">
              <w:rPr>
                <w:rFonts w:ascii="Times New Roman" w:hAnsi="Times New Roman"/>
                <w:color w:val="000000" w:themeColor="text1"/>
                <w:sz w:val="21"/>
                <w:szCs w:val="21"/>
              </w:rPr>
              <w:t xml:space="preserve"> and </w:t>
            </w:r>
            <w:hyperlink r:id="rId7" w:history="1">
              <w:r w:rsidRPr="0097524C">
                <w:rPr>
                  <w:rStyle w:val="Hyperlink"/>
                  <w:rFonts w:ascii="Times New Roman" w:hAnsi="Times New Roman"/>
                  <w:color w:val="000000" w:themeColor="text1"/>
                  <w:sz w:val="21"/>
                  <w:szCs w:val="21"/>
                </w:rPr>
                <w:t>www.mes.gov.in</w:t>
              </w:r>
            </w:hyperlink>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both"/>
              <w:rPr>
                <w:rFonts w:ascii="Times New Roman" w:hAnsi="Times New Roman"/>
                <w:sz w:val="21"/>
                <w:szCs w:val="21"/>
              </w:rPr>
            </w:pPr>
            <w:r w:rsidRPr="0097524C">
              <w:rPr>
                <w:rFonts w:ascii="Times New Roman" w:hAnsi="Times New Roman"/>
                <w:sz w:val="21"/>
                <w:szCs w:val="21"/>
              </w:rPr>
              <w:t xml:space="preserve">The tender shall be item rate contract based </w:t>
            </w:r>
            <w:r w:rsidRPr="0023731B">
              <w:rPr>
                <w:rFonts w:ascii="Times New Roman" w:hAnsi="Times New Roman"/>
                <w:sz w:val="21"/>
                <w:szCs w:val="21"/>
              </w:rPr>
              <w:t>on IAFW-1779(A) &amp; IAFW-2249 with Schedule ‘A’ (list of items</w:t>
            </w:r>
            <w:r w:rsidRPr="0097524C">
              <w:rPr>
                <w:rFonts w:ascii="Times New Roman" w:hAnsi="Times New Roman"/>
                <w:sz w:val="21"/>
                <w:szCs w:val="21"/>
              </w:rPr>
              <w:t xml:space="preserve">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cente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val="restart"/>
            <w:tcBorders>
              <w:top w:val="single" w:sz="4" w:space="0" w:color="000000" w:themeColor="text1"/>
              <w:left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both"/>
              <w:rPr>
                <w:rFonts w:ascii="Times New Roman" w:hAnsi="Times New Roman"/>
                <w:color w:val="000000" w:themeColor="text1"/>
                <w:sz w:val="21"/>
                <w:szCs w:val="21"/>
              </w:rPr>
            </w:pP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rPr>
                <w:rFonts w:ascii="Times New Roman" w:hAnsi="Times New Roman"/>
                <w:color w:val="000000" w:themeColor="text1"/>
                <w:sz w:val="21"/>
                <w:szCs w:val="21"/>
              </w:rPr>
            </w:pPr>
          </w:p>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55589F" w:rsidRPr="0097524C" w:rsidRDefault="0055589F" w:rsidP="00901968">
            <w:pPr>
              <w:rPr>
                <w:rFonts w:ascii="Times New Roman" w:hAnsi="Times New Roman"/>
                <w:color w:val="000000" w:themeColor="text1"/>
                <w:sz w:val="21"/>
                <w:szCs w:val="21"/>
              </w:rPr>
            </w:pPr>
          </w:p>
          <w:p w:rsidR="0055589F" w:rsidRPr="0097524C" w:rsidRDefault="0055589F" w:rsidP="00901968">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Category a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55589F" w:rsidRPr="0097524C" w:rsidRDefault="0055589F" w:rsidP="00901968">
            <w:pPr>
              <w:jc w:val="both"/>
              <w:rPr>
                <w:rFonts w:ascii="Times New Roman" w:hAnsi="Times New Roman"/>
                <w:color w:val="000000" w:themeColor="text1"/>
                <w:sz w:val="21"/>
                <w:szCs w:val="21"/>
              </w:rPr>
            </w:pPr>
          </w:p>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55589F" w:rsidRPr="0097524C" w:rsidRDefault="0055589F" w:rsidP="00901968">
            <w:pPr>
              <w:jc w:val="both"/>
              <w:rPr>
                <w:rFonts w:ascii="Times New Roman" w:hAnsi="Times New Roman"/>
                <w:color w:val="000000" w:themeColor="text1"/>
                <w:sz w:val="21"/>
                <w:szCs w:val="21"/>
              </w:rPr>
            </w:pPr>
          </w:p>
          <w:p w:rsidR="0055589F" w:rsidRPr="0097524C" w:rsidRDefault="0055589F"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sz w:val="21"/>
                <w:szCs w:val="21"/>
              </w:rPr>
            </w:pPr>
            <w:r>
              <w:rPr>
                <w:rFonts w:ascii="Times New Roman" w:hAnsi="Times New Roman"/>
                <w:b/>
                <w:sz w:val="21"/>
                <w:szCs w:val="21"/>
              </w:rPr>
              <w:t xml:space="preserve">GE 868 EWS </w:t>
            </w:r>
          </w:p>
        </w:tc>
      </w:tr>
      <w:tr w:rsidR="0055589F"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97524C" w:rsidRDefault="0055589F" w:rsidP="00901968">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42,800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w:t>
            </w:r>
            <w:r>
              <w:rPr>
                <w:rFonts w:ascii="Times New Roman" w:hAnsi="Times New Roman"/>
                <w:b/>
                <w:sz w:val="21"/>
                <w:szCs w:val="21"/>
              </w:rPr>
              <w:t>GE 868 EWS</w:t>
            </w:r>
            <w:r w:rsidRPr="0097524C">
              <w:rPr>
                <w:rFonts w:ascii="Times New Roman" w:hAnsi="Times New Roman"/>
                <w:b/>
                <w:sz w:val="21"/>
                <w:szCs w:val="21"/>
              </w:rPr>
              <w:t xml:space="preserve"> payable at </w:t>
            </w:r>
            <w:proofErr w:type="spellStart"/>
            <w:r>
              <w:rPr>
                <w:rFonts w:ascii="Times New Roman" w:hAnsi="Times New Roman"/>
                <w:b/>
                <w:sz w:val="21"/>
                <w:szCs w:val="21"/>
              </w:rPr>
              <w:t>Rangapahar</w:t>
            </w:r>
            <w:proofErr w:type="spellEnd"/>
          </w:p>
        </w:tc>
      </w:tr>
    </w:tbl>
    <w:p w:rsidR="0055589F" w:rsidRPr="0097524C" w:rsidRDefault="0055589F" w:rsidP="0055589F">
      <w:pPr>
        <w:rPr>
          <w:rFonts w:ascii="Times New Roman" w:hAnsi="Times New Roman"/>
          <w:b/>
          <w:color w:val="000000" w:themeColor="text1"/>
          <w:sz w:val="21"/>
          <w:szCs w:val="21"/>
        </w:rPr>
      </w:pPr>
    </w:p>
    <w:p w:rsidR="0055589F" w:rsidRDefault="0055589F" w:rsidP="0055589F">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55589F" w:rsidRDefault="0055589F" w:rsidP="0055589F">
      <w:pPr>
        <w:rPr>
          <w:rFonts w:ascii="Times New Roman" w:hAnsi="Times New Roman"/>
          <w:b/>
          <w:color w:val="000000" w:themeColor="text1"/>
          <w:sz w:val="22"/>
          <w:szCs w:val="22"/>
        </w:rPr>
      </w:pPr>
    </w:p>
    <w:p w:rsidR="0055589F" w:rsidRPr="0097524C" w:rsidRDefault="0055589F" w:rsidP="0055589F">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5589F" w:rsidRPr="00DD5EE7" w:rsidRDefault="0055589F" w:rsidP="0055589F">
      <w:pPr>
        <w:rPr>
          <w:rFonts w:ascii="Times New Roman" w:hAnsi="Times New Roman"/>
          <w:sz w:val="19"/>
          <w:szCs w:val="19"/>
        </w:rPr>
      </w:pPr>
    </w:p>
    <w:p w:rsidR="0055589F" w:rsidRPr="00DD5EE7" w:rsidRDefault="0055589F" w:rsidP="0055589F">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55589F" w:rsidRPr="00DD5EE7" w:rsidRDefault="0055589F" w:rsidP="0055589F">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55589F" w:rsidRPr="00DD5EE7" w:rsidTr="00901968">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55589F" w:rsidRPr="00DD5EE7" w:rsidTr="00901968">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55589F" w:rsidRPr="00DD5EE7"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55589F" w:rsidRPr="00DD5EE7"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55589F"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55589F" w:rsidRPr="00DD5EE7" w:rsidTr="00901968">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55589F"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589F" w:rsidRPr="00DD5EE7" w:rsidRDefault="0055589F"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55589F"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589F" w:rsidRPr="00DD5EE7" w:rsidRDefault="0055589F"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55589F"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589F" w:rsidRPr="00DD5EE7" w:rsidRDefault="0055589F"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55589F" w:rsidRPr="00DD5EE7" w:rsidTr="00901968">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589F" w:rsidRPr="00DD5EE7" w:rsidRDefault="0055589F"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55589F" w:rsidRPr="00DD5EE7" w:rsidTr="00901968">
        <w:trPr>
          <w:trHeight w:val="602"/>
        </w:trPr>
        <w:tc>
          <w:tcPr>
            <w:tcW w:w="0" w:type="auto"/>
            <w:tcBorders>
              <w:top w:val="single" w:sz="4" w:space="0" w:color="000000" w:themeColor="text1"/>
              <w:left w:val="single" w:sz="4" w:space="0" w:color="000000" w:themeColor="text1"/>
              <w:right w:val="single" w:sz="4" w:space="0" w:color="000000" w:themeColor="text1"/>
            </w:tcBorders>
          </w:tcPr>
          <w:p w:rsidR="0055589F" w:rsidRPr="00DD5EE7" w:rsidRDefault="0055589F"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F" w:rsidRPr="00DD5EE7" w:rsidRDefault="0055589F" w:rsidP="00901968">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55589F" w:rsidRDefault="0055589F" w:rsidP="0055589F"/>
    <w:p w:rsidR="0055589F" w:rsidRDefault="0055589F" w:rsidP="0055589F">
      <w:pPr>
        <w:spacing w:after="200" w:line="276" w:lineRule="auto"/>
        <w:rPr>
          <w:rFonts w:ascii="Times New Roman" w:hAnsi="Times New Roman"/>
          <w:b/>
          <w:sz w:val="20"/>
          <w:szCs w:val="22"/>
        </w:rPr>
      </w:pPr>
      <w:r>
        <w:rPr>
          <w:rFonts w:ascii="Times New Roman" w:hAnsi="Times New Roman"/>
          <w:b/>
          <w:sz w:val="20"/>
          <w:szCs w:val="22"/>
        </w:rPr>
        <w:br w:type="page"/>
      </w:r>
    </w:p>
    <w:p w:rsidR="0055589F" w:rsidRDefault="0055589F" w:rsidP="0055589F">
      <w:pPr>
        <w:rPr>
          <w:rFonts w:ascii="Times New Roman" w:hAnsi="Times New Roman"/>
          <w:b/>
          <w:sz w:val="21"/>
          <w:szCs w:val="21"/>
        </w:rPr>
      </w:pPr>
    </w:p>
    <w:p w:rsidR="0055589F" w:rsidRPr="0097524C" w:rsidRDefault="0055589F" w:rsidP="0055589F">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5589F" w:rsidRPr="002436C0" w:rsidRDefault="0055589F" w:rsidP="0055589F">
      <w:pPr>
        <w:jc w:val="center"/>
        <w:rPr>
          <w:rFonts w:ascii="Times New Roman" w:hAnsi="Times New Roman"/>
          <w:b/>
          <w:color w:val="000000" w:themeColor="text1"/>
          <w:sz w:val="8"/>
          <w:szCs w:val="22"/>
          <w:u w:val="single"/>
        </w:rPr>
      </w:pPr>
    </w:p>
    <w:p w:rsidR="0055589F" w:rsidRPr="002436C0" w:rsidRDefault="0055589F" w:rsidP="0055589F">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55589F" w:rsidRPr="002436C0" w:rsidRDefault="0055589F" w:rsidP="0055589F">
      <w:pPr>
        <w:rPr>
          <w:rFonts w:ascii="Times New Roman" w:hAnsi="Times New Roman"/>
          <w:color w:val="000000" w:themeColor="text1"/>
          <w:sz w:val="20"/>
          <w:szCs w:val="22"/>
        </w:rPr>
      </w:pPr>
    </w:p>
    <w:tbl>
      <w:tblPr>
        <w:tblStyle w:val="TableGrid"/>
        <w:tblW w:w="0" w:type="auto"/>
        <w:tblLook w:val="04A0"/>
      </w:tblPr>
      <w:tblGrid>
        <w:gridCol w:w="738"/>
        <w:gridCol w:w="9543"/>
      </w:tblGrid>
      <w:tr w:rsidR="0055589F" w:rsidRPr="002436C0" w:rsidTr="00901968">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55589F" w:rsidRPr="002436C0" w:rsidTr="00901968">
        <w:tc>
          <w:tcPr>
            <w:tcW w:w="738" w:type="dxa"/>
            <w:vMerge/>
            <w:tcBorders>
              <w:left w:val="single" w:sz="4" w:space="0" w:color="000000" w:themeColor="text1"/>
              <w:right w:val="single" w:sz="4" w:space="0" w:color="000000" w:themeColor="text1"/>
            </w:tcBorders>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55589F" w:rsidRPr="002436C0" w:rsidTr="00901968">
        <w:tc>
          <w:tcPr>
            <w:tcW w:w="0" w:type="auto"/>
            <w:vMerge/>
            <w:tcBorders>
              <w:left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55589F" w:rsidRPr="002436C0" w:rsidTr="00901968">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55589F" w:rsidRPr="002436C0" w:rsidRDefault="0055589F"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55589F"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55589F"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55589F" w:rsidRPr="002436C0" w:rsidRDefault="0055589F"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55589F" w:rsidRPr="002436C0" w:rsidRDefault="0055589F"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55589F" w:rsidRPr="002436C0" w:rsidRDefault="0055589F"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55589F"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89F" w:rsidRPr="002436C0" w:rsidRDefault="0055589F" w:rsidP="00901968">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55589F" w:rsidRDefault="0055589F" w:rsidP="0055589F">
      <w:pPr>
        <w:rPr>
          <w:rFonts w:ascii="Times New Roman" w:hAnsi="Times New Roman"/>
          <w:b/>
          <w:color w:val="000000" w:themeColor="text1"/>
          <w:sz w:val="18"/>
          <w:szCs w:val="20"/>
        </w:rPr>
      </w:pPr>
    </w:p>
    <w:p w:rsidR="0055589F" w:rsidRPr="002436C0" w:rsidRDefault="0055589F" w:rsidP="0055589F">
      <w:pPr>
        <w:rPr>
          <w:rFonts w:ascii="Times New Roman" w:hAnsi="Times New Roman"/>
          <w:b/>
          <w:color w:val="000000" w:themeColor="text1"/>
          <w:sz w:val="18"/>
          <w:szCs w:val="20"/>
        </w:rPr>
      </w:pPr>
    </w:p>
    <w:p w:rsidR="0055589F" w:rsidRPr="002436C0" w:rsidRDefault="0055589F" w:rsidP="0055589F">
      <w:pPr>
        <w:rPr>
          <w:rFonts w:ascii="Times New Roman" w:hAnsi="Times New Roman"/>
          <w:b/>
          <w:sz w:val="18"/>
          <w:szCs w:val="20"/>
        </w:rPr>
      </w:pPr>
      <w:r w:rsidRPr="002436C0">
        <w:rPr>
          <w:rFonts w:ascii="Times New Roman" w:hAnsi="Times New Roman"/>
          <w:b/>
          <w:sz w:val="18"/>
          <w:szCs w:val="20"/>
        </w:rPr>
        <w:t>____________________</w:t>
      </w:r>
    </w:p>
    <w:p w:rsidR="0055589F" w:rsidRPr="002436C0" w:rsidRDefault="0055589F" w:rsidP="0055589F">
      <w:pPr>
        <w:rPr>
          <w:rFonts w:ascii="Times New Roman" w:hAnsi="Times New Roman"/>
          <w:b/>
          <w:sz w:val="18"/>
          <w:szCs w:val="20"/>
        </w:rPr>
      </w:pPr>
      <w:r w:rsidRPr="002436C0">
        <w:rPr>
          <w:rFonts w:ascii="Times New Roman" w:hAnsi="Times New Roman"/>
          <w:b/>
          <w:sz w:val="18"/>
          <w:szCs w:val="20"/>
        </w:rPr>
        <w:t xml:space="preserve">Signature of contractor </w:t>
      </w:r>
    </w:p>
    <w:p w:rsidR="0055589F" w:rsidRPr="002436C0" w:rsidRDefault="0055589F" w:rsidP="0055589F">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55589F" w:rsidRPr="002436C0" w:rsidRDefault="0055589F" w:rsidP="0055589F">
      <w:pPr>
        <w:spacing w:after="100" w:afterAutospacing="1"/>
        <w:contextualSpacing/>
        <w:jc w:val="both"/>
        <w:rPr>
          <w:rFonts w:ascii="Times New Roman" w:hAnsi="Times New Roman"/>
          <w:sz w:val="18"/>
          <w:szCs w:val="20"/>
        </w:rPr>
      </w:pPr>
      <w:r>
        <w:rPr>
          <w:rFonts w:ascii="Times New Roman" w:hAnsi="Times New Roman"/>
          <w:sz w:val="18"/>
          <w:szCs w:val="20"/>
        </w:rPr>
        <w:t>8312</w:t>
      </w:r>
      <w:r w:rsidRPr="002436C0">
        <w:rPr>
          <w:rFonts w:ascii="Times New Roman" w:hAnsi="Times New Roman"/>
          <w:sz w:val="18"/>
          <w:szCs w:val="20"/>
        </w:rPr>
        <w:t>/E8</w:t>
      </w:r>
    </w:p>
    <w:p w:rsidR="0055589F" w:rsidRPr="002436C0" w:rsidRDefault="0055589F" w:rsidP="0055589F">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proofErr w:type="spellStart"/>
      <w:r>
        <w:rPr>
          <w:rFonts w:ascii="Times New Roman" w:hAnsi="Times New Roman"/>
          <w:sz w:val="18"/>
          <w:szCs w:val="20"/>
        </w:rPr>
        <w:t>Sd</w:t>
      </w:r>
      <w:proofErr w:type="spellEnd"/>
      <w:r>
        <w:rPr>
          <w:rFonts w:ascii="Times New Roman" w:hAnsi="Times New Roman"/>
          <w:sz w:val="18"/>
          <w:szCs w:val="20"/>
        </w:rPr>
        <w:t>/xxx</w:t>
      </w:r>
    </w:p>
    <w:p w:rsidR="0055589F" w:rsidRPr="002436C0" w:rsidRDefault="0055589F" w:rsidP="0055589F">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55589F" w:rsidRPr="002436C0" w:rsidRDefault="0055589F" w:rsidP="0055589F">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55589F" w:rsidRPr="002436C0" w:rsidRDefault="0055589F" w:rsidP="0055589F">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55589F" w:rsidRPr="002436C0" w:rsidRDefault="0055589F" w:rsidP="0055589F">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55589F" w:rsidRPr="002436C0" w:rsidRDefault="0055589F" w:rsidP="0055589F">
      <w:pPr>
        <w:spacing w:after="100" w:afterAutospacing="1"/>
        <w:contextualSpacing/>
        <w:jc w:val="both"/>
        <w:rPr>
          <w:rFonts w:ascii="Times New Roman" w:hAnsi="Times New Roman"/>
          <w:sz w:val="8"/>
          <w:szCs w:val="20"/>
        </w:rPr>
      </w:pPr>
    </w:p>
    <w:p w:rsidR="0055589F" w:rsidRPr="002436C0" w:rsidRDefault="0055589F" w:rsidP="0055589F">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proofErr w:type="gramEnd"/>
      <w:r>
        <w:rPr>
          <w:rFonts w:ascii="Times New Roman" w:hAnsi="Times New Roman"/>
          <w:sz w:val="18"/>
          <w:szCs w:val="20"/>
        </w:rPr>
        <w:t xml:space="preserve"> 01 Dec </w:t>
      </w:r>
      <w:r w:rsidRPr="002436C0">
        <w:rPr>
          <w:rFonts w:ascii="Times New Roman" w:hAnsi="Times New Roman"/>
          <w:sz w:val="18"/>
          <w:szCs w:val="20"/>
        </w:rPr>
        <w:t>2018</w:t>
      </w:r>
    </w:p>
    <w:p w:rsidR="00DC1777" w:rsidRPr="0055589F" w:rsidRDefault="00DC1777" w:rsidP="0055589F">
      <w:pPr>
        <w:rPr>
          <w:szCs w:val="20"/>
        </w:rPr>
      </w:pPr>
    </w:p>
    <w:sectPr w:rsidR="00DC1777" w:rsidRPr="0055589F"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424D2"/>
    <w:rsid w:val="00046C33"/>
    <w:rsid w:val="000538B9"/>
    <w:rsid w:val="0005522B"/>
    <w:rsid w:val="00057B79"/>
    <w:rsid w:val="00067B0F"/>
    <w:rsid w:val="00075015"/>
    <w:rsid w:val="00077C84"/>
    <w:rsid w:val="00082EF4"/>
    <w:rsid w:val="00086D4D"/>
    <w:rsid w:val="00087817"/>
    <w:rsid w:val="00087D25"/>
    <w:rsid w:val="00094679"/>
    <w:rsid w:val="00097601"/>
    <w:rsid w:val="000A2F36"/>
    <w:rsid w:val="000A42B3"/>
    <w:rsid w:val="000A476B"/>
    <w:rsid w:val="000B16E3"/>
    <w:rsid w:val="000B38E2"/>
    <w:rsid w:val="000B6C20"/>
    <w:rsid w:val="000B77CB"/>
    <w:rsid w:val="000C436A"/>
    <w:rsid w:val="000C4EAE"/>
    <w:rsid w:val="000D22ED"/>
    <w:rsid w:val="000D2B9B"/>
    <w:rsid w:val="000E477E"/>
    <w:rsid w:val="000E7ABC"/>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1378"/>
    <w:rsid w:val="00224F49"/>
    <w:rsid w:val="00225E5F"/>
    <w:rsid w:val="002347BE"/>
    <w:rsid w:val="00236E59"/>
    <w:rsid w:val="0023731B"/>
    <w:rsid w:val="00237690"/>
    <w:rsid w:val="002444D2"/>
    <w:rsid w:val="0024559A"/>
    <w:rsid w:val="0025191B"/>
    <w:rsid w:val="00253C24"/>
    <w:rsid w:val="00290CC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C3A4B"/>
    <w:rsid w:val="003D11D0"/>
    <w:rsid w:val="003D2E11"/>
    <w:rsid w:val="003F5BAA"/>
    <w:rsid w:val="00407604"/>
    <w:rsid w:val="0041042D"/>
    <w:rsid w:val="00411939"/>
    <w:rsid w:val="0041375C"/>
    <w:rsid w:val="00417BED"/>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1157"/>
    <w:rsid w:val="00523D69"/>
    <w:rsid w:val="00532DF5"/>
    <w:rsid w:val="00533123"/>
    <w:rsid w:val="00541E16"/>
    <w:rsid w:val="0054696D"/>
    <w:rsid w:val="00546D4F"/>
    <w:rsid w:val="00554F7F"/>
    <w:rsid w:val="0055589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23A4"/>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C16"/>
    <w:rsid w:val="009A53D3"/>
    <w:rsid w:val="009A5A4B"/>
    <w:rsid w:val="009A6074"/>
    <w:rsid w:val="009B2053"/>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61E3E"/>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1781C"/>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72AF1"/>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3761"/>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3</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435</cp:revision>
  <cp:lastPrinted>2018-12-01T11:28:00Z</cp:lastPrinted>
  <dcterms:created xsi:type="dcterms:W3CDTF">2014-08-01T14:00:00Z</dcterms:created>
  <dcterms:modified xsi:type="dcterms:W3CDTF">2018-12-01T11:29:00Z</dcterms:modified>
</cp:coreProperties>
</file>