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B53528">
      <w:pPr>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Pr="00EA3358" w:rsidRDefault="00B53528" w:rsidP="00B53528">
      <w:pPr>
        <w:autoSpaceDE w:val="0"/>
        <w:autoSpaceDN w:val="0"/>
        <w:adjustRightInd w:val="0"/>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7175E5">
        <w:rPr>
          <w:rFonts w:ascii="Arial" w:hAnsi="Arial" w:cs="Arial"/>
          <w:b/>
          <w:bCs/>
          <w:color w:val="000000"/>
          <w:sz w:val="20"/>
          <w:szCs w:val="20"/>
          <w:u w:val="single"/>
        </w:rPr>
        <w:t>4</w:t>
      </w:r>
      <w:r w:rsidR="0053328E">
        <w:rPr>
          <w:rFonts w:ascii="Arial" w:hAnsi="Arial" w:cs="Arial"/>
          <w:b/>
          <w:bCs/>
          <w:color w:val="000000"/>
          <w:sz w:val="20"/>
          <w:szCs w:val="20"/>
          <w:u w:val="single"/>
        </w:rPr>
        <w:t>8</w:t>
      </w:r>
      <w:r w:rsidR="00AD7BDF">
        <w:rPr>
          <w:rFonts w:ascii="Arial" w:hAnsi="Arial" w:cs="Arial"/>
          <w:b/>
          <w:bCs/>
          <w:color w:val="000000"/>
          <w:sz w:val="20"/>
          <w:szCs w:val="20"/>
          <w:u w:val="single"/>
        </w:rPr>
        <w:t>/18-19</w:t>
      </w: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53328E">
            <w:pPr>
              <w:tabs>
                <w:tab w:val="left" w:pos="1440"/>
              </w:tabs>
              <w:ind w:left="-18"/>
              <w:jc w:val="both"/>
              <w:rPr>
                <w:rFonts w:ascii="Arial" w:hAnsi="Arial" w:cs="Arial"/>
                <w:color w:val="000000"/>
              </w:rPr>
            </w:pPr>
            <w:r w:rsidRPr="00A472A5">
              <w:rPr>
                <w:rFonts w:ascii="Arial" w:hAnsi="Arial" w:cs="Arial"/>
              </w:rPr>
              <w:t xml:space="preserve">CA NO </w:t>
            </w:r>
            <w:r w:rsidRPr="005701BC">
              <w:rPr>
                <w:rFonts w:ascii="Arial" w:hAnsi="Arial" w:cs="Arial"/>
                <w:b/>
              </w:rPr>
              <w:t>AGE(I)/D-</w:t>
            </w:r>
            <w:r w:rsidR="007175E5">
              <w:rPr>
                <w:rFonts w:ascii="Arial" w:hAnsi="Arial" w:cs="Arial"/>
                <w:b/>
              </w:rPr>
              <w:t>4</w:t>
            </w:r>
            <w:r w:rsidR="0053328E">
              <w:rPr>
                <w:rFonts w:ascii="Arial" w:hAnsi="Arial" w:cs="Arial"/>
                <w:b/>
              </w:rPr>
              <w:t>8</w:t>
            </w:r>
            <w:r w:rsidRPr="00A472A5">
              <w:rPr>
                <w:rFonts w:ascii="Arial" w:hAnsi="Arial" w:cs="Arial"/>
              </w:rPr>
              <w:t>/</w:t>
            </w:r>
            <w:r w:rsidR="00CF1C38">
              <w:rPr>
                <w:rFonts w:ascii="Arial" w:hAnsi="Arial" w:cs="Arial"/>
                <w:b/>
              </w:rPr>
              <w:t>18-19</w:t>
            </w:r>
            <w:r w:rsidR="00CF1C38">
              <w:rPr>
                <w:rFonts w:ascii="Arial" w:hAnsi="Arial" w:cs="Arial"/>
              </w:rPr>
              <w:t xml:space="preserve"> </w:t>
            </w:r>
            <w:r w:rsidR="005701BC">
              <w:rPr>
                <w:rFonts w:ascii="Arial" w:hAnsi="Arial" w:cs="Arial"/>
              </w:rPr>
              <w:t xml:space="preserve"> : </w:t>
            </w:r>
            <w:r w:rsidR="0053328E">
              <w:rPr>
                <w:rFonts w:ascii="Arial" w:hAnsi="Arial" w:cs="Arial"/>
                <w:bCs/>
                <w:color w:val="000000"/>
              </w:rPr>
              <w:t>Repair/maint of internal electrification, fitting and fixtures distribution boards, electric meters and submain, winter appliances, geysers, exhaust fan stabilizer at Bakloh and Dunera Cantt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53328E">
            <w:pPr>
              <w:tabs>
                <w:tab w:val="left" w:pos="1440"/>
              </w:tabs>
              <w:ind w:left="-18"/>
              <w:jc w:val="both"/>
              <w:rPr>
                <w:rFonts w:ascii="Arial" w:hAnsi="Arial" w:cs="Arial"/>
                <w:color w:val="000000"/>
              </w:rPr>
            </w:pPr>
            <w:r w:rsidRPr="00AD7BDF">
              <w:rPr>
                <w:rFonts w:ascii="Arial" w:hAnsi="Arial" w:cs="Arial"/>
                <w:b/>
                <w:color w:val="000000"/>
              </w:rPr>
              <w:t xml:space="preserve">Rs </w:t>
            </w:r>
            <w:r w:rsidR="0053328E">
              <w:rPr>
                <w:rFonts w:ascii="Arial" w:hAnsi="Arial" w:cs="Arial"/>
                <w:b/>
                <w:color w:val="000000"/>
              </w:rPr>
              <w:t>6.85</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F73BFB">
            <w:pPr>
              <w:tabs>
                <w:tab w:val="left" w:pos="1440"/>
              </w:tabs>
              <w:ind w:left="-18"/>
              <w:jc w:val="both"/>
              <w:rPr>
                <w:rFonts w:ascii="Arial" w:hAnsi="Arial" w:cs="Arial"/>
                <w:color w:val="000000"/>
              </w:rPr>
            </w:pPr>
            <w:r w:rsidRPr="009C0C2B">
              <w:rPr>
                <w:rFonts w:ascii="Arial" w:hAnsi="Arial" w:cs="Arial"/>
                <w:b/>
                <w:color w:val="000000"/>
              </w:rPr>
              <w:t xml:space="preserve">Rs </w:t>
            </w:r>
            <w:r w:rsidR="00F73BFB">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F476F4"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53328E">
            <w:pPr>
              <w:tabs>
                <w:tab w:val="left" w:pos="1440"/>
              </w:tabs>
              <w:ind w:left="-18"/>
              <w:jc w:val="both"/>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53328E">
              <w:rPr>
                <w:rFonts w:ascii="Arial" w:hAnsi="Arial" w:cs="Arial"/>
                <w:color w:val="000000"/>
              </w:rPr>
              <w:t>25</w:t>
            </w:r>
            <w:r w:rsidR="007175E5">
              <w:rPr>
                <w:rFonts w:ascii="Arial" w:hAnsi="Arial" w:cs="Arial"/>
                <w:color w:val="000000"/>
              </w:rPr>
              <w:t xml:space="preserve"> Oct </w:t>
            </w:r>
            <w:r w:rsidR="00AD7BDF">
              <w:rPr>
                <w:rFonts w:ascii="Arial" w:hAnsi="Arial" w:cs="Arial"/>
                <w:color w:val="000000"/>
              </w:rPr>
              <w:t xml:space="preserve">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53328E">
            <w:pPr>
              <w:tabs>
                <w:tab w:val="left" w:pos="1440"/>
              </w:tabs>
              <w:ind w:left="-18"/>
              <w:jc w:val="both"/>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53328E">
              <w:rPr>
                <w:rFonts w:ascii="Arial" w:hAnsi="Arial" w:cs="Arial"/>
                <w:color w:val="000000"/>
              </w:rPr>
              <w:t>05 Nov</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53328E" w:rsidP="007175E5">
            <w:pPr>
              <w:tabs>
                <w:tab w:val="left" w:pos="1440"/>
              </w:tabs>
              <w:ind w:left="-18"/>
              <w:jc w:val="both"/>
              <w:rPr>
                <w:rFonts w:ascii="Arial" w:hAnsi="Arial" w:cs="Arial"/>
                <w:color w:val="000000"/>
              </w:rPr>
            </w:pPr>
            <w:r>
              <w:rPr>
                <w:rFonts w:ascii="Arial" w:hAnsi="Arial" w:cs="Arial"/>
                <w:color w:val="000000"/>
              </w:rPr>
              <w:t xml:space="preserve">        06 Nov</w:t>
            </w:r>
            <w:r w:rsidR="00F73BFB">
              <w:rPr>
                <w:rFonts w:ascii="Arial" w:hAnsi="Arial" w:cs="Arial"/>
                <w:color w:val="000000"/>
              </w:rPr>
              <w:t xml:space="preserve">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1F06AB">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53328E">
              <w:rPr>
                <w:rFonts w:ascii="Arial" w:hAnsi="Arial" w:cs="Arial"/>
                <w:b/>
                <w:color w:val="000000"/>
                <w:sz w:val="20"/>
                <w:szCs w:val="20"/>
              </w:rPr>
              <w:t>b(i)</w:t>
            </w:r>
            <w:r w:rsidR="00DF6B27" w:rsidRPr="009374DA">
              <w:rPr>
                <w:rFonts w:ascii="Arial" w:hAnsi="Arial" w:cs="Arial"/>
                <w:color w:val="000000"/>
                <w:sz w:val="20"/>
                <w:szCs w:val="20"/>
              </w:rPr>
              <w:t xml:space="preserve">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53328E">
              <w:rPr>
                <w:rFonts w:ascii="Arial" w:hAnsi="Arial" w:cs="Arial"/>
                <w:b/>
                <w:color w:val="000000"/>
              </w:rPr>
              <w:t>b</w:t>
            </w:r>
            <w:r w:rsidRPr="00DA33F2">
              <w:rPr>
                <w:rFonts w:ascii="Arial" w:hAnsi="Arial" w:cs="Arial"/>
                <w:b/>
                <w:color w:val="000000"/>
              </w:rPr>
              <w:t xml:space="preserve"> (i)</w:t>
            </w:r>
            <w:r>
              <w:rPr>
                <w:rFonts w:ascii="Arial" w:hAnsi="Arial" w:cs="Arial"/>
                <w:color w:val="000000"/>
              </w:rPr>
              <w:t xml:space="preserve"> 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7175E5">
            <w:pPr>
              <w:tabs>
                <w:tab w:val="left" w:pos="1440"/>
              </w:tabs>
              <w:jc w:val="both"/>
              <w:rPr>
                <w:rFonts w:ascii="Arial" w:hAnsi="Arial" w:cs="Arial"/>
                <w:color w:val="000000"/>
              </w:rPr>
            </w:pPr>
            <w:r>
              <w:rPr>
                <w:rFonts w:ascii="Arial" w:hAnsi="Arial" w:cs="Arial"/>
                <w:color w:val="000000"/>
              </w:rPr>
              <w:t xml:space="preserve">Rs </w:t>
            </w:r>
            <w:r w:rsidR="00F73BFB">
              <w:rPr>
                <w:rFonts w:ascii="Arial" w:hAnsi="Arial" w:cs="Arial"/>
                <w:b/>
                <w:color w:val="000000"/>
              </w:rPr>
              <w:t>1</w:t>
            </w:r>
            <w:r w:rsidR="007175E5">
              <w:rPr>
                <w:rFonts w:ascii="Arial" w:hAnsi="Arial" w:cs="Arial"/>
                <w:b/>
                <w:color w:val="000000"/>
              </w:rPr>
              <w:t>5360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0C4EBB">
        <w:rPr>
          <w:rFonts w:ascii="Arial" w:hAnsi="Arial" w:cs="Arial"/>
          <w:bCs/>
          <w:color w:val="000000"/>
          <w:sz w:val="20"/>
          <w:szCs w:val="20"/>
        </w:rPr>
        <w:t>4</w:t>
      </w:r>
      <w:r w:rsidR="00D65E04">
        <w:rPr>
          <w:rFonts w:ascii="Arial" w:hAnsi="Arial" w:cs="Arial"/>
          <w:bCs/>
          <w:color w:val="000000"/>
          <w:sz w:val="20"/>
          <w:szCs w:val="20"/>
        </w:rPr>
        <w:t>8</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0C4EBB">
        <w:rPr>
          <w:rFonts w:ascii="Arial" w:hAnsi="Arial" w:cs="Arial"/>
          <w:bCs/>
          <w:color w:val="000000"/>
          <w:sz w:val="20"/>
          <w:szCs w:val="20"/>
        </w:rPr>
        <w:t xml:space="preserve">    </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0C4EBB">
        <w:rPr>
          <w:rFonts w:ascii="Arial" w:hAnsi="Arial" w:cs="Arial"/>
          <w:bCs/>
          <w:color w:val="000000"/>
          <w:sz w:val="20"/>
          <w:szCs w:val="20"/>
        </w:rPr>
        <w:t xml:space="preserve">Oct </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D6413F" w:rsidRDefault="00D6413F" w:rsidP="008016EB">
      <w:pPr>
        <w:spacing w:after="0" w:line="240" w:lineRule="auto"/>
        <w:rPr>
          <w:rFonts w:ascii="Arial" w:hAnsi="Arial" w:cs="Arial"/>
          <w:color w:val="000000"/>
        </w:rPr>
      </w:pP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 xml:space="preserve">AGE(I)/D-43/18-19  : Provn of 40/25 MM GI pipe </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 xml:space="preserve">line for FFC complex and officer mess from </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u w:val="single"/>
        </w:rPr>
      </w:pPr>
      <w:r w:rsidRPr="00D6413F">
        <w:rPr>
          <w:rFonts w:ascii="Arial" w:hAnsi="Arial" w:cs="Arial"/>
          <w:b/>
          <w:bCs/>
          <w:color w:val="000000"/>
          <w:sz w:val="36"/>
          <w:szCs w:val="26"/>
          <w:u w:val="single"/>
        </w:rPr>
        <w:t>main water point at Bakloh  and provn of false</w:t>
      </w:r>
    </w:p>
    <w:p w:rsidR="00D6413F" w:rsidRPr="00D6413F" w:rsidRDefault="00D6413F" w:rsidP="00D6413F">
      <w:pPr>
        <w:tabs>
          <w:tab w:val="left" w:pos="1440"/>
        </w:tabs>
        <w:spacing w:after="0" w:line="240" w:lineRule="auto"/>
        <w:ind w:left="-18"/>
        <w:jc w:val="both"/>
        <w:rPr>
          <w:rFonts w:ascii="Arial" w:hAnsi="Arial" w:cs="Arial"/>
          <w:b/>
          <w:bCs/>
          <w:color w:val="000000"/>
          <w:sz w:val="36"/>
          <w:szCs w:val="26"/>
        </w:rPr>
      </w:pPr>
      <w:r w:rsidRPr="00D6413F">
        <w:rPr>
          <w:rFonts w:ascii="Arial" w:hAnsi="Arial" w:cs="Arial"/>
          <w:b/>
          <w:bCs/>
          <w:color w:val="000000"/>
          <w:sz w:val="36"/>
          <w:szCs w:val="26"/>
          <w:u w:val="single"/>
        </w:rPr>
        <w:t xml:space="preserve"> celing at BK-34 (bn Mandir) at Bakloh</w:t>
      </w:r>
      <w:r w:rsidRPr="00D6413F">
        <w:rPr>
          <w:rFonts w:ascii="Arial" w:hAnsi="Arial" w:cs="Arial"/>
          <w:b/>
          <w:bCs/>
          <w:color w:val="000000"/>
          <w:sz w:val="36"/>
          <w:szCs w:val="26"/>
        </w:rPr>
        <w:t xml:space="preserve">  </w:t>
      </w:r>
    </w:p>
    <w:p w:rsidR="00D6413F" w:rsidRPr="00D6413F" w:rsidRDefault="00D6413F" w:rsidP="00D6413F">
      <w:pPr>
        <w:tabs>
          <w:tab w:val="left" w:pos="1440"/>
        </w:tabs>
        <w:spacing w:after="0" w:line="240" w:lineRule="auto"/>
        <w:ind w:left="-18"/>
        <w:jc w:val="both"/>
        <w:rPr>
          <w:rFonts w:ascii="Arial" w:hAnsi="Arial" w:cs="Arial"/>
          <w:color w:val="000000"/>
          <w:sz w:val="36"/>
          <w:szCs w:val="26"/>
          <w:u w:val="single"/>
        </w:rPr>
      </w:pPr>
    </w:p>
    <w:p w:rsidR="00D6413F" w:rsidRPr="00D6413F" w:rsidRDefault="00D6413F" w:rsidP="00D6413F">
      <w:pPr>
        <w:tabs>
          <w:tab w:val="left" w:pos="1440"/>
        </w:tabs>
        <w:spacing w:after="0" w:line="240" w:lineRule="auto"/>
        <w:ind w:left="-18"/>
        <w:jc w:val="both"/>
        <w:rPr>
          <w:rFonts w:ascii="Arial" w:hAnsi="Arial" w:cs="Arial"/>
          <w:color w:val="000000"/>
          <w:sz w:val="36"/>
          <w:szCs w:val="26"/>
          <w:u w:val="single"/>
        </w:rPr>
      </w:pPr>
      <w:r w:rsidRPr="00D6413F">
        <w:rPr>
          <w:rFonts w:ascii="Arial" w:hAnsi="Arial" w:cs="Arial"/>
          <w:color w:val="000000"/>
          <w:sz w:val="36"/>
          <w:szCs w:val="26"/>
          <w:u w:val="single"/>
        </w:rPr>
        <w:t>Job No 39MD/LBW-02/18-19 and DAL/RW-07/18-19)</w:t>
      </w:r>
    </w:p>
    <w:sectPr w:rsidR="00D6413F" w:rsidRPr="00D6413F"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0C" w:rsidRDefault="00C7010C" w:rsidP="00EA3358">
      <w:pPr>
        <w:spacing w:after="0" w:line="240" w:lineRule="auto"/>
      </w:pPr>
      <w:r>
        <w:separator/>
      </w:r>
    </w:p>
  </w:endnote>
  <w:endnote w:type="continuationSeparator" w:id="1">
    <w:p w:rsidR="00C7010C" w:rsidRDefault="00C7010C"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0C" w:rsidRDefault="00C7010C" w:rsidP="00EA3358">
      <w:pPr>
        <w:spacing w:after="0" w:line="240" w:lineRule="auto"/>
      </w:pPr>
      <w:r>
        <w:separator/>
      </w:r>
    </w:p>
  </w:footnote>
  <w:footnote w:type="continuationSeparator" w:id="1">
    <w:p w:rsidR="00C7010C" w:rsidRDefault="00C7010C"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C0851"/>
    <w:rsid w:val="000C4EBB"/>
    <w:rsid w:val="000D17D9"/>
    <w:rsid w:val="000D3239"/>
    <w:rsid w:val="000F3172"/>
    <w:rsid w:val="000F37EB"/>
    <w:rsid w:val="00111BB3"/>
    <w:rsid w:val="00114D7C"/>
    <w:rsid w:val="00116E3C"/>
    <w:rsid w:val="00145669"/>
    <w:rsid w:val="00153FC9"/>
    <w:rsid w:val="00177D65"/>
    <w:rsid w:val="001827DB"/>
    <w:rsid w:val="001966EB"/>
    <w:rsid w:val="001A477B"/>
    <w:rsid w:val="001B7FDE"/>
    <w:rsid w:val="001C1F7B"/>
    <w:rsid w:val="001C7D1E"/>
    <w:rsid w:val="001D5958"/>
    <w:rsid w:val="001D73E0"/>
    <w:rsid w:val="001E2411"/>
    <w:rsid w:val="001F06AB"/>
    <w:rsid w:val="002017EB"/>
    <w:rsid w:val="00203A97"/>
    <w:rsid w:val="00204093"/>
    <w:rsid w:val="00232211"/>
    <w:rsid w:val="00232A6D"/>
    <w:rsid w:val="00236845"/>
    <w:rsid w:val="00236B48"/>
    <w:rsid w:val="00252B98"/>
    <w:rsid w:val="002609F6"/>
    <w:rsid w:val="00264838"/>
    <w:rsid w:val="002731D9"/>
    <w:rsid w:val="00274261"/>
    <w:rsid w:val="00283695"/>
    <w:rsid w:val="002976E8"/>
    <w:rsid w:val="002A33D4"/>
    <w:rsid w:val="002A379E"/>
    <w:rsid w:val="002A5CCF"/>
    <w:rsid w:val="002B3FF7"/>
    <w:rsid w:val="002C1292"/>
    <w:rsid w:val="002C7B09"/>
    <w:rsid w:val="002E1D6C"/>
    <w:rsid w:val="002F1787"/>
    <w:rsid w:val="003262F9"/>
    <w:rsid w:val="00331F9F"/>
    <w:rsid w:val="0033388A"/>
    <w:rsid w:val="00340426"/>
    <w:rsid w:val="00347AC0"/>
    <w:rsid w:val="0035014E"/>
    <w:rsid w:val="0035551C"/>
    <w:rsid w:val="0037133C"/>
    <w:rsid w:val="0037370D"/>
    <w:rsid w:val="00375EE4"/>
    <w:rsid w:val="00386474"/>
    <w:rsid w:val="00397E5A"/>
    <w:rsid w:val="003A2C56"/>
    <w:rsid w:val="003A6FF7"/>
    <w:rsid w:val="003B1585"/>
    <w:rsid w:val="003B50EE"/>
    <w:rsid w:val="003C4E45"/>
    <w:rsid w:val="003C566D"/>
    <w:rsid w:val="003D1E92"/>
    <w:rsid w:val="003E011E"/>
    <w:rsid w:val="003E7DB9"/>
    <w:rsid w:val="003F36C8"/>
    <w:rsid w:val="0041590F"/>
    <w:rsid w:val="00443070"/>
    <w:rsid w:val="00445CE1"/>
    <w:rsid w:val="004510D6"/>
    <w:rsid w:val="004613DB"/>
    <w:rsid w:val="004640B0"/>
    <w:rsid w:val="00471F4C"/>
    <w:rsid w:val="00473AA4"/>
    <w:rsid w:val="00477E43"/>
    <w:rsid w:val="00480301"/>
    <w:rsid w:val="004B2F10"/>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28E"/>
    <w:rsid w:val="00533ED3"/>
    <w:rsid w:val="0053733A"/>
    <w:rsid w:val="005450B5"/>
    <w:rsid w:val="005454B6"/>
    <w:rsid w:val="00550CB8"/>
    <w:rsid w:val="005546D7"/>
    <w:rsid w:val="005658ED"/>
    <w:rsid w:val="005701BC"/>
    <w:rsid w:val="00581125"/>
    <w:rsid w:val="00582651"/>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175E5"/>
    <w:rsid w:val="00724DD2"/>
    <w:rsid w:val="00734238"/>
    <w:rsid w:val="00747484"/>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797C"/>
    <w:rsid w:val="00863620"/>
    <w:rsid w:val="00871D29"/>
    <w:rsid w:val="00873C2A"/>
    <w:rsid w:val="0087410C"/>
    <w:rsid w:val="00880D9B"/>
    <w:rsid w:val="00880E40"/>
    <w:rsid w:val="0088573C"/>
    <w:rsid w:val="00890A7C"/>
    <w:rsid w:val="008A51A1"/>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C5D8D"/>
    <w:rsid w:val="009E6EDA"/>
    <w:rsid w:val="00A026AD"/>
    <w:rsid w:val="00A04D6E"/>
    <w:rsid w:val="00A20B64"/>
    <w:rsid w:val="00A22BC2"/>
    <w:rsid w:val="00A43330"/>
    <w:rsid w:val="00A66168"/>
    <w:rsid w:val="00A663F9"/>
    <w:rsid w:val="00A832EB"/>
    <w:rsid w:val="00A8485F"/>
    <w:rsid w:val="00A90AE6"/>
    <w:rsid w:val="00AD73B7"/>
    <w:rsid w:val="00AD7BDF"/>
    <w:rsid w:val="00AE4EE9"/>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2E8A"/>
    <w:rsid w:val="00B76000"/>
    <w:rsid w:val="00B9220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010C"/>
    <w:rsid w:val="00C72C2E"/>
    <w:rsid w:val="00C76C93"/>
    <w:rsid w:val="00C80996"/>
    <w:rsid w:val="00C80CC4"/>
    <w:rsid w:val="00C83C5C"/>
    <w:rsid w:val="00C87BD0"/>
    <w:rsid w:val="00C93B5B"/>
    <w:rsid w:val="00CD4CA5"/>
    <w:rsid w:val="00CE0F5F"/>
    <w:rsid w:val="00CE1C73"/>
    <w:rsid w:val="00CF1C38"/>
    <w:rsid w:val="00CF79CC"/>
    <w:rsid w:val="00D066CC"/>
    <w:rsid w:val="00D10DC2"/>
    <w:rsid w:val="00D36BB6"/>
    <w:rsid w:val="00D4275F"/>
    <w:rsid w:val="00D43A07"/>
    <w:rsid w:val="00D6413F"/>
    <w:rsid w:val="00D65E04"/>
    <w:rsid w:val="00D7509F"/>
    <w:rsid w:val="00D8022B"/>
    <w:rsid w:val="00D84A40"/>
    <w:rsid w:val="00D87500"/>
    <w:rsid w:val="00D923E4"/>
    <w:rsid w:val="00D92E9E"/>
    <w:rsid w:val="00DA33F2"/>
    <w:rsid w:val="00DB01DB"/>
    <w:rsid w:val="00DD22F1"/>
    <w:rsid w:val="00DE18F7"/>
    <w:rsid w:val="00DF6B27"/>
    <w:rsid w:val="00E12A11"/>
    <w:rsid w:val="00E14063"/>
    <w:rsid w:val="00E321A2"/>
    <w:rsid w:val="00E32547"/>
    <w:rsid w:val="00E4299B"/>
    <w:rsid w:val="00E435C0"/>
    <w:rsid w:val="00E445B8"/>
    <w:rsid w:val="00E55A68"/>
    <w:rsid w:val="00E62AF8"/>
    <w:rsid w:val="00E83AC1"/>
    <w:rsid w:val="00EA3358"/>
    <w:rsid w:val="00EB156E"/>
    <w:rsid w:val="00EB46E7"/>
    <w:rsid w:val="00EB6616"/>
    <w:rsid w:val="00EB75A4"/>
    <w:rsid w:val="00EC484F"/>
    <w:rsid w:val="00EE0B89"/>
    <w:rsid w:val="00EF060C"/>
    <w:rsid w:val="00F00A2B"/>
    <w:rsid w:val="00F0370A"/>
    <w:rsid w:val="00F13C95"/>
    <w:rsid w:val="00F26EC3"/>
    <w:rsid w:val="00F32187"/>
    <w:rsid w:val="00F4347D"/>
    <w:rsid w:val="00F476F4"/>
    <w:rsid w:val="00F529D2"/>
    <w:rsid w:val="00F6144A"/>
    <w:rsid w:val="00F73BFB"/>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MES E-8</cp:lastModifiedBy>
  <cp:revision>185</cp:revision>
  <cp:lastPrinted>2018-10-12T11:23:00Z</cp:lastPrinted>
  <dcterms:created xsi:type="dcterms:W3CDTF">2014-10-15T03:50:00Z</dcterms:created>
  <dcterms:modified xsi:type="dcterms:W3CDTF">2018-10-12T11:24:00Z</dcterms:modified>
</cp:coreProperties>
</file>