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3C2A6A">
        <w:rPr>
          <w:rFonts w:ascii="Arial" w:hAnsi="Arial" w:cs="Arial"/>
          <w:color w:val="000000" w:themeColor="text1"/>
          <w:sz w:val="22"/>
          <w:szCs w:val="22"/>
        </w:rPr>
        <w:t>8928</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F10090" w:rsidP="003C2A6A">
            <w:pPr>
              <w:jc w:val="both"/>
              <w:rPr>
                <w:rFonts w:ascii="Bookman Old Style" w:hAnsi="Bookman Old Style" w:cs="Arial"/>
                <w:color w:val="000000" w:themeColor="text1"/>
                <w:lang w:val="en-US"/>
              </w:rPr>
            </w:pPr>
            <w:r w:rsidRPr="00C967C6">
              <w:rPr>
                <w:rFonts w:ascii="Bookman Old Style" w:hAnsi="Bookman Old Style" w:cs="Arial"/>
                <w:bCs/>
                <w:sz w:val="20"/>
                <w:szCs w:val="20"/>
                <w:lang w:val="en-US"/>
              </w:rPr>
              <w:t xml:space="preserve">OUTSOURCING FOR SERVICES TO RUNNING INSTALLATIONS </w:t>
            </w:r>
            <w:r w:rsidR="00972B51" w:rsidRPr="00972B51">
              <w:rPr>
                <w:rFonts w:ascii="Bookman Old Style" w:hAnsi="Bookman Old Style" w:cs="Arial"/>
                <w:bCs/>
                <w:sz w:val="20"/>
                <w:szCs w:val="20"/>
                <w:lang w:val="en-US"/>
              </w:rPr>
              <w:t xml:space="preserve">FOR </w:t>
            </w:r>
            <w:r w:rsidR="003C2A6A" w:rsidRPr="003C2A6A">
              <w:rPr>
                <w:rFonts w:ascii="Bookman Old Style" w:hAnsi="Bookman Old Style" w:cs="Arial"/>
                <w:bCs/>
                <w:sz w:val="20"/>
                <w:szCs w:val="20"/>
                <w:lang w:val="en-US"/>
              </w:rPr>
              <w:t>PUMPING INSTALLATIONS AND DG SETS AT NAUSHAKTI VIHAR UNDER GE(UTILITY-II)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3C2A6A">
              <w:rPr>
                <w:rFonts w:ascii="Bookman Old Style" w:hAnsi="Bookman Old Style" w:cs="Arial"/>
                <w:color w:val="000000" w:themeColor="text1"/>
              </w:rPr>
              <w:t>9.0</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97296F"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EB19FC" w:rsidRDefault="00EB19FC">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3C2A6A">
        <w:rPr>
          <w:rFonts w:ascii="Arial" w:hAnsi="Arial" w:cs="Arial"/>
          <w:color w:val="000000" w:themeColor="text1"/>
        </w:rPr>
        <w:t>8928</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3C2A6A">
              <w:rPr>
                <w:rFonts w:ascii="Bookman Old Style" w:hAnsi="Bookman Old Style" w:cs="Arial"/>
                <w:color w:val="000000" w:themeColor="text1"/>
                <w:sz w:val="20"/>
                <w:szCs w:val="20"/>
              </w:rPr>
              <w:t>98</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3C2A6A" w:rsidRDefault="003C2A6A"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t>CA NO: GE (U-II)/VIZ/</w:t>
      </w:r>
      <w:r w:rsidR="003B6CE6" w:rsidRPr="003C294F">
        <w:rPr>
          <w:rFonts w:ascii="Arial" w:hAnsi="Arial" w:cs="Arial"/>
          <w:color w:val="000000" w:themeColor="text1"/>
        </w:rPr>
        <w:t>GEM/</w:t>
      </w:r>
      <w:r w:rsidR="003C2A6A">
        <w:rPr>
          <w:rFonts w:ascii="Arial" w:hAnsi="Arial" w:cs="Arial"/>
          <w:color w:val="000000" w:themeColor="text1"/>
        </w:rPr>
        <w:t>8928</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3C2A6A">
        <w:rPr>
          <w:rFonts w:ascii="Arial" w:hAnsi="Arial" w:cs="Arial"/>
          <w:color w:val="000000" w:themeColor="text1"/>
        </w:rPr>
        <w:t>8928</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3C2A6A">
        <w:rPr>
          <w:rFonts w:ascii="Bookman Old Style" w:hAnsi="Bookman Old Style"/>
          <w:color w:val="000000" w:themeColor="text1"/>
          <w:sz w:val="20"/>
          <w:szCs w:val="20"/>
        </w:rPr>
        <w:t>8928</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3C2A6A"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8928</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F10090">
        <w:rPr>
          <w:rFonts w:ascii="Bookman Old Style" w:hAnsi="Bookman Old Style" w:cs="Arial"/>
          <w:color w:val="000000" w:themeColor="text1"/>
          <w:sz w:val="20"/>
          <w:szCs w:val="20"/>
        </w:rPr>
        <w:t>Jul</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96F" w:rsidRDefault="009B396F" w:rsidP="009903D6">
      <w:pPr>
        <w:spacing w:after="0" w:line="240" w:lineRule="auto"/>
      </w:pPr>
      <w:r>
        <w:separator/>
      </w:r>
    </w:p>
  </w:endnote>
  <w:endnote w:type="continuationSeparator" w:id="1">
    <w:p w:rsidR="009B396F" w:rsidRDefault="009B396F"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96F" w:rsidRDefault="009B396F" w:rsidP="009903D6">
      <w:pPr>
        <w:spacing w:after="0" w:line="240" w:lineRule="auto"/>
      </w:pPr>
      <w:r>
        <w:separator/>
      </w:r>
    </w:p>
  </w:footnote>
  <w:footnote w:type="continuationSeparator" w:id="1">
    <w:p w:rsidR="009B396F" w:rsidRDefault="009B396F"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D86"/>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48D8"/>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1D3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5FD6"/>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6A"/>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286B"/>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04C"/>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96F"/>
    <w:rsid w:val="00972B51"/>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96F"/>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25FF"/>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9FC"/>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0090"/>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3692</TotalTime>
  <Pages>4</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834</cp:revision>
  <cp:lastPrinted>2023-07-08T06:12:00Z</cp:lastPrinted>
  <dcterms:created xsi:type="dcterms:W3CDTF">2015-03-02T04:25:00Z</dcterms:created>
  <dcterms:modified xsi:type="dcterms:W3CDTF">2023-07-08T06:13:00Z</dcterms:modified>
</cp:coreProperties>
</file>